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EE2" w:rsidRPr="00175EE2" w:rsidRDefault="00175EE2" w:rsidP="00175EE2">
      <w:pPr>
        <w:tabs>
          <w:tab w:val="left" w:pos="5977"/>
        </w:tabs>
        <w:spacing w:before="240" w:after="0" w:line="240" w:lineRule="auto"/>
        <w:ind w:left="363"/>
        <w:jc w:val="center"/>
        <w:rPr>
          <w:rFonts w:ascii="Times New Roman" w:eastAsia="Times New Roman" w:hAnsi="Times New Roman" w:cs="Times New Roman"/>
          <w:b/>
          <w:sz w:val="24"/>
          <w:szCs w:val="24"/>
          <w:lang w:val="fr-FR"/>
        </w:rPr>
      </w:pPr>
      <w:bookmarkStart w:id="0" w:name="_GoBack"/>
      <w:r w:rsidRPr="00175EE2">
        <w:rPr>
          <w:rFonts w:ascii="Times New Roman" w:eastAsia="Times New Roman" w:hAnsi="Times New Roman" w:cs="Times New Roman"/>
          <w:b/>
          <w:sz w:val="24"/>
          <w:szCs w:val="24"/>
          <w:lang w:val="fr-FR"/>
        </w:rPr>
        <w:t>INFORMACJA</w:t>
      </w:r>
      <w:r w:rsidRPr="00175EE2">
        <w:rPr>
          <w:rFonts w:ascii="Times New Roman" w:eastAsia="Times New Roman" w:hAnsi="Times New Roman" w:cs="Times New Roman"/>
          <w:b/>
          <w:sz w:val="24"/>
          <w:szCs w:val="24"/>
          <w:lang w:val="fr-FR"/>
        </w:rPr>
        <w:br/>
        <w:t>o przetwarzaniu Pani/Pana danych osobowych</w:t>
      </w:r>
    </w:p>
    <w:p w:rsidR="00175EE2" w:rsidRPr="00175EE2" w:rsidRDefault="00175EE2" w:rsidP="00175EE2">
      <w:pPr>
        <w:spacing w:before="240" w:after="0" w:line="240" w:lineRule="auto"/>
        <w:ind w:left="363"/>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ab/>
        <w:t>Zgodnie z art. 13 i art. 26 rozporządzenia Parlamentu Europejskiego i Rady (UE) nr 2016/679 z dnia 27 kwietnia 2016 r. w sprawie ochrony osób fizycznych w związku z przetwarzaniem danych osobowych i w sprawie swobodnego przepływu takich danych oraz uchylenia dyrektywy 95/46/WE zwanego dalej « RODO » informujemy, że wspólnie przetwarzamy Państwa dane osobowe oraz informujemy o zasadniczej treści wspólnych uzgodnień Współadministratorów. Szczegóły tego dotyczące :</w:t>
      </w:r>
    </w:p>
    <w:p w:rsidR="00175EE2" w:rsidRPr="00175EE2" w:rsidRDefault="00175EE2" w:rsidP="00175EE2">
      <w:pPr>
        <w:spacing w:before="240" w:after="0" w:line="240" w:lineRule="auto"/>
        <w:ind w:left="840"/>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360" w:lineRule="auto"/>
        <w:jc w:val="both"/>
        <w:rPr>
          <w:rFonts w:ascii="Calibri" w:eastAsia="Times New Roman" w:hAnsi="Calibri" w:cs="Times New Roman"/>
          <w:lang w:val="fr-FR"/>
        </w:rPr>
      </w:pPr>
      <w:r w:rsidRPr="00175EE2">
        <w:rPr>
          <w:rFonts w:ascii="Times New Roman" w:eastAsia="Times New Roman" w:hAnsi="Times New Roman" w:cs="Times New Roman"/>
          <w:b/>
          <w:sz w:val="24"/>
          <w:szCs w:val="24"/>
          <w:lang w:val="fr-FR"/>
        </w:rPr>
        <w:t>Współadministratorzy danych osobowych</w:t>
      </w:r>
    </w:p>
    <w:p w:rsidR="00175EE2" w:rsidRPr="00175EE2" w:rsidRDefault="00175EE2" w:rsidP="00175EE2">
      <w:pPr>
        <w:spacing w:after="0" w:line="240" w:lineRule="auto"/>
        <w:ind w:firstLine="360"/>
        <w:jc w:val="both"/>
        <w:rPr>
          <w:rFonts w:ascii="Times New Roman" w:eastAsia="Times New Roman" w:hAnsi="Times New Roman" w:cs="Times New Roman"/>
          <w:sz w:val="24"/>
          <w:szCs w:val="24"/>
          <w:lang w:val="fr-FR" w:eastAsia="pl-PL"/>
        </w:rPr>
      </w:pPr>
      <w:r w:rsidRPr="00175EE2">
        <w:rPr>
          <w:rFonts w:ascii="Times New Roman" w:eastAsia="Times New Roman" w:hAnsi="Times New Roman" w:cs="Times New Roman"/>
          <w:sz w:val="24"/>
          <w:szCs w:val="24"/>
          <w:lang w:val="fr-FR" w:eastAsia="pl-PL"/>
        </w:rPr>
        <w:t>Informujemy, że Współadministratorami Pani/Pana danych osobowych są:</w:t>
      </w:r>
    </w:p>
    <w:p w:rsidR="00175EE2" w:rsidRPr="00175EE2" w:rsidRDefault="00175EE2" w:rsidP="00175EE2">
      <w:pPr>
        <w:spacing w:after="0" w:line="240" w:lineRule="auto"/>
        <w:jc w:val="both"/>
        <w:rPr>
          <w:rFonts w:ascii="Times New Roman" w:eastAsia="Times New Roman" w:hAnsi="Times New Roman" w:cs="Times New Roman"/>
          <w:sz w:val="24"/>
          <w:szCs w:val="24"/>
          <w:lang w:val="fr-FR"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Instytut Chemii Bioorganicznej Polskiej Akademii Nauk Poznańskie Centrum Superkomputerowo–Sieciowe z siedzibą w Poznaniu przy ul. Noskowskiego 12/14, 61-704 Poznań, adres do korespondencji: ul. Jana Pawła II 10, 61-139 Poznań,</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 xml:space="preserve">Krzysztof </w:t>
      </w:r>
      <w:proofErr w:type="spellStart"/>
      <w:r w:rsidRPr="00175EE2">
        <w:rPr>
          <w:rFonts w:ascii="Times New Roman" w:eastAsia="Times New Roman" w:hAnsi="Times New Roman" w:cs="Times New Roman"/>
          <w:color w:val="000000"/>
          <w:sz w:val="24"/>
          <w:szCs w:val="24"/>
          <w:lang w:eastAsia="pl-PL"/>
        </w:rPr>
        <w:t>Ślatała</w:t>
      </w:r>
      <w:proofErr w:type="spellEnd"/>
      <w:r w:rsidRPr="00175EE2">
        <w:rPr>
          <w:rFonts w:ascii="Times New Roman" w:eastAsia="Times New Roman" w:hAnsi="Times New Roman" w:cs="Times New Roman"/>
          <w:color w:val="000000"/>
          <w:sz w:val="24"/>
          <w:szCs w:val="24"/>
          <w:lang w:eastAsia="pl-PL"/>
        </w:rPr>
        <w:t xml:space="preserve"> TRIN.PL z siedzibą w Poznaniu przy ul. Polanowskiej 93, 60-454 Poznań, NIP 781-112-94-29,</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proofErr w:type="spellStart"/>
      <w:r w:rsidRPr="00175EE2">
        <w:rPr>
          <w:rFonts w:ascii="Times New Roman" w:eastAsia="Times New Roman" w:hAnsi="Times New Roman" w:cs="Times New Roman"/>
          <w:color w:val="000000"/>
          <w:sz w:val="24"/>
          <w:szCs w:val="24"/>
          <w:lang w:eastAsia="pl-PL"/>
        </w:rPr>
        <w:t>ICsec</w:t>
      </w:r>
      <w:proofErr w:type="spellEnd"/>
      <w:r w:rsidRPr="00175EE2">
        <w:rPr>
          <w:rFonts w:ascii="Times New Roman" w:eastAsia="Times New Roman" w:hAnsi="Times New Roman" w:cs="Times New Roman"/>
          <w:color w:val="000000"/>
          <w:sz w:val="24"/>
          <w:szCs w:val="24"/>
          <w:lang w:eastAsia="pl-PL"/>
        </w:rPr>
        <w:t xml:space="preserve"> S.A. z siedzibą w Poznaniu, ul. Wichrowa 1A, 60-449 Poznań, wpisana do Rejestru Przedsiębiorców Krajowego Rejestru Sądowego prowadzonego przez Sąd Rejonowy Poznań - Nowe Miasto i Wilda w Poznaniu, VIII Wydział Gospodarczy Krajowego Rejestru Sądowego pod numerem KRS: 0000761914, numer identyfikacji podatkowej (NIP): 7811986010, REGON: 382035399, numer BDO: 000435524, wysokość kapitału zakładowego: 242.808,00 złotych (wpłacony w całości),</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 xml:space="preserve">Spółka </w:t>
      </w:r>
      <w:proofErr w:type="spellStart"/>
      <w:r w:rsidRPr="00175EE2">
        <w:rPr>
          <w:rFonts w:ascii="Times New Roman" w:eastAsia="Times New Roman" w:hAnsi="Times New Roman" w:cs="Times New Roman"/>
          <w:color w:val="000000"/>
          <w:sz w:val="24"/>
          <w:szCs w:val="24"/>
          <w:lang w:eastAsia="pl-PL"/>
        </w:rPr>
        <w:t>CDeX</w:t>
      </w:r>
      <w:proofErr w:type="spellEnd"/>
      <w:r w:rsidRPr="00175EE2">
        <w:rPr>
          <w:rFonts w:ascii="Times New Roman" w:eastAsia="Times New Roman" w:hAnsi="Times New Roman" w:cs="Times New Roman"/>
          <w:color w:val="000000"/>
          <w:sz w:val="24"/>
          <w:szCs w:val="24"/>
          <w:lang w:eastAsia="pl-PL"/>
        </w:rPr>
        <w:t xml:space="preserve"> Prosta Spółka Akcyjna z siedzibą w Poznaniu, adres: ul. Marcelińska 90, 60-324 Poznań, NIP 7792541145, REGON 522442194, wpisana do Rejestru Przedsiębiorców Krajowego Rejestru Sądowego prowadzonego przez Sąd Rejonowy Poznań – Nowe Miasto i Wilda w Poznaniu, VIII Wydział Gospodarczy KRS, pod numerem 0000978218, kapitał akcyjny: 6.922.225,00 zł,</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Politechnika Wrocławska z siedzibą we Wrocławiu, przy Wybrzeżu Stanisława Wyspiańskiego 27, 50-370 Wrocław, NIP 896-000-58-51,</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 xml:space="preserve">VT </w:t>
      </w:r>
      <w:proofErr w:type="spellStart"/>
      <w:r w:rsidRPr="00175EE2">
        <w:rPr>
          <w:rFonts w:ascii="Times New Roman" w:eastAsia="Times New Roman" w:hAnsi="Times New Roman" w:cs="Times New Roman"/>
          <w:color w:val="000000"/>
          <w:sz w:val="24"/>
          <w:szCs w:val="24"/>
          <w:lang w:eastAsia="pl-PL"/>
        </w:rPr>
        <w:t>Cyber</w:t>
      </w:r>
      <w:proofErr w:type="spellEnd"/>
      <w:r w:rsidRPr="00175EE2">
        <w:rPr>
          <w:rFonts w:ascii="Times New Roman" w:eastAsia="Times New Roman" w:hAnsi="Times New Roman" w:cs="Times New Roman"/>
          <w:color w:val="000000"/>
          <w:sz w:val="24"/>
          <w:szCs w:val="24"/>
          <w:lang w:eastAsia="pl-PL"/>
        </w:rPr>
        <w:t xml:space="preserve"> Sp. z o.o. z siedzibą w Warszawie, ul. Wiertnicza 117, 02-952 Warszawa, NIP 701-034-80-79,</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175EE2">
        <w:rPr>
          <w:rFonts w:ascii="Times New Roman" w:eastAsia="Times New Roman" w:hAnsi="Times New Roman" w:cs="Times New Roman"/>
          <w:color w:val="000000"/>
          <w:sz w:val="24"/>
          <w:szCs w:val="24"/>
          <w:lang w:eastAsia="pl-PL"/>
        </w:rPr>
        <w:t>ITTI Sp. z o.o. z siedzibą w Poznaniu, ul. Rubież 46, 61-612 Poznań, NIP 781-101-98-01.</w:t>
      </w: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spacing w:after="0" w:line="240" w:lineRule="auto"/>
        <w:jc w:val="both"/>
        <w:rPr>
          <w:rFonts w:ascii="Times New Roman" w:eastAsia="Times New Roman" w:hAnsi="Times New Roman" w:cs="Times New Roman"/>
          <w:color w:val="000000"/>
          <w:sz w:val="24"/>
          <w:szCs w:val="24"/>
          <w:lang w:eastAsia="pl-PL"/>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b/>
          <w:sz w:val="24"/>
          <w:szCs w:val="24"/>
          <w:lang w:val="fr-FR"/>
        </w:rPr>
        <w:t>Inspektorzy Ochrony Danych</w:t>
      </w:r>
    </w:p>
    <w:p w:rsidR="00175EE2" w:rsidRPr="00175EE2" w:rsidRDefault="00175EE2" w:rsidP="00175EE2">
      <w:pPr>
        <w:spacing w:after="0" w:line="240" w:lineRule="auto"/>
        <w:ind w:left="1559"/>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Każdy ze Współadministratorów, w przypadku spełniania którejkolwiek przesłanki z art. 37 ust. 1 RODO, wyznaczył Inspektora Ochrony Danych.</w:t>
      </w:r>
    </w:p>
    <w:p w:rsidR="00175EE2" w:rsidRPr="00175EE2" w:rsidRDefault="00175EE2" w:rsidP="00175EE2">
      <w:pPr>
        <w:spacing w:after="0" w:line="240" w:lineRule="auto"/>
        <w:ind w:left="1559"/>
        <w:jc w:val="both"/>
        <w:rPr>
          <w:rFonts w:ascii="Times New Roman" w:eastAsia="Times New Roman" w:hAnsi="Times New Roman" w:cs="Times New Roman"/>
          <w:sz w:val="24"/>
          <w:szCs w:val="24"/>
          <w:lang w:val="fr-FR"/>
        </w:rPr>
      </w:pPr>
    </w:p>
    <w:p w:rsidR="00175EE2" w:rsidRPr="00175EE2" w:rsidRDefault="00175EE2" w:rsidP="00175EE2">
      <w:pPr>
        <w:spacing w:after="0" w:line="240" w:lineRule="auto"/>
        <w:ind w:left="1559"/>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lastRenderedPageBreak/>
        <w:t xml:space="preserve">Z Inspektorem Ochrony Danych Współadministratora Koordynującego może się Pani/Pan skontaktować w sprawach ochrony swoich danych i realizacji swoich praw za pomocą e-mail: </w:t>
      </w:r>
      <w:r w:rsidRPr="00175EE2">
        <w:rPr>
          <w:rFonts w:ascii="Times New Roman" w:eastAsia="Times New Roman" w:hAnsi="Times New Roman" w:cs="Times New Roman"/>
          <w:sz w:val="24"/>
          <w:szCs w:val="24"/>
          <w:u w:color="FF0000"/>
          <w:lang w:eastAsia="pl-PL"/>
        </w:rPr>
        <w:fldChar w:fldCharType="begin"/>
      </w:r>
      <w:r w:rsidRPr="00175EE2">
        <w:rPr>
          <w:rFonts w:ascii="Times New Roman" w:eastAsia="Times New Roman" w:hAnsi="Times New Roman" w:cs="Times New Roman"/>
          <w:sz w:val="24"/>
          <w:szCs w:val="24"/>
          <w:u w:color="FF0000"/>
          <w:lang w:eastAsia="pl-PL"/>
        </w:rPr>
        <w:instrText>HYPERLINK "mailto:dpo@ibch.poznan.pl"</w:instrText>
      </w:r>
      <w:r w:rsidRPr="00175EE2">
        <w:rPr>
          <w:rFonts w:ascii="Times New Roman" w:eastAsia="Times New Roman" w:hAnsi="Times New Roman" w:cs="Times New Roman"/>
          <w:sz w:val="24"/>
          <w:szCs w:val="24"/>
          <w:u w:color="FF0000"/>
          <w:lang w:eastAsia="pl-PL"/>
        </w:rPr>
        <w:fldChar w:fldCharType="separate"/>
      </w:r>
      <w:r w:rsidRPr="00175EE2">
        <w:rPr>
          <w:rFonts w:ascii="Times New Roman" w:eastAsia="Times New Roman" w:hAnsi="Times New Roman" w:cs="Times New Roman"/>
          <w:color w:val="FF0000"/>
          <w:sz w:val="24"/>
          <w:szCs w:val="24"/>
          <w:u w:val="single" w:color="FF0000"/>
          <w:lang w:eastAsia="pl-PL"/>
        </w:rPr>
        <w:t>dpo@ibch.poznan.pl</w:t>
      </w:r>
      <w:r w:rsidRPr="00175EE2">
        <w:rPr>
          <w:rFonts w:ascii="Times New Roman" w:eastAsia="Times New Roman" w:hAnsi="Times New Roman" w:cs="Times New Roman"/>
          <w:sz w:val="24"/>
          <w:szCs w:val="24"/>
          <w:u w:color="FF0000"/>
          <w:lang w:eastAsia="pl-PL"/>
        </w:rPr>
        <w:fldChar w:fldCharType="end"/>
      </w:r>
      <w:r w:rsidRPr="00175EE2">
        <w:rPr>
          <w:rFonts w:ascii="Times New Roman" w:eastAsia="Times New Roman" w:hAnsi="Times New Roman" w:cs="Times New Roman"/>
          <w:sz w:val="24"/>
          <w:szCs w:val="24"/>
          <w:u w:color="000000"/>
          <w:lang w:eastAsia="pl-PL"/>
        </w:rPr>
        <w:t xml:space="preserve">, numer tel. 61 8 52 85 03 </w:t>
      </w:r>
      <w:r w:rsidRPr="00175EE2">
        <w:rPr>
          <w:rFonts w:ascii="Times New Roman" w:eastAsia="Times New Roman" w:hAnsi="Times New Roman" w:cs="Times New Roman"/>
          <w:sz w:val="24"/>
          <w:szCs w:val="24"/>
          <w:lang w:val="fr-FR"/>
        </w:rPr>
        <w:t>lub pisemnie na adres ul. Noskowskiego 12/14, 61-704 Poznań.</w:t>
      </w:r>
    </w:p>
    <w:p w:rsidR="00175EE2" w:rsidRPr="00175EE2" w:rsidRDefault="00175EE2" w:rsidP="00175EE2">
      <w:pPr>
        <w:spacing w:after="0" w:line="240" w:lineRule="auto"/>
        <w:ind w:left="1559"/>
        <w:jc w:val="both"/>
        <w:rPr>
          <w:rFonts w:ascii="Times New Roman" w:eastAsia="Times New Roman" w:hAnsi="Times New Roman" w:cs="Times New Roman"/>
          <w:sz w:val="24"/>
          <w:szCs w:val="24"/>
          <w:lang w:val="fr-FR"/>
        </w:rPr>
      </w:pPr>
    </w:p>
    <w:p w:rsidR="00175EE2" w:rsidRPr="00175EE2" w:rsidRDefault="00175EE2" w:rsidP="00175EE2">
      <w:pPr>
        <w:spacing w:after="0" w:line="240" w:lineRule="auto"/>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b/>
          <w:sz w:val="24"/>
          <w:szCs w:val="24"/>
          <w:lang w:val="fr-FR"/>
        </w:rPr>
        <w:t xml:space="preserve">Cele i podstawy przetwarzania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 xml:space="preserve">Przetwarzanie ma na celu realizację projektu EDIH Cybersec FENG.02.22-IP.02-0012/23-00, w ramach konkursu ogłoszonego przez Komisję Europejską i Polską Agencję Rozwoj Przedsiębiorczości, na podstawie obowiązku ciążącego na Współadministratorach – realizacja projektu [art. 6 ust. 1 lit. c) i e) RODO]. W celu rejestracji na wydarzenie oraz otrzymywania informacji o wydarzeniach organizowanych przez Współadministratorów, ofertach bezpłatnych usług, nowościach z dziedziny cyberbezpieczeństwa oraz zaproszeń do udziału w badaniu satysfakcji ze szkolenia podstawą prawną jest zgoda (art. 6 ust. 1 lit.a) RODO. Zgoda jest dobrowolna i może zostać wycofana w każdym momencie, co nie wpływa na legalność działań podjętych przez Współadministratorów przed wycofaniem zgody. </w:t>
      </w:r>
    </w:p>
    <w:p w:rsidR="00175EE2" w:rsidRPr="00175EE2" w:rsidRDefault="00175EE2" w:rsidP="00175EE2">
      <w:pPr>
        <w:spacing w:after="0" w:line="240" w:lineRule="auto"/>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b/>
          <w:sz w:val="24"/>
          <w:szCs w:val="24"/>
          <w:lang w:val="fr-FR"/>
        </w:rPr>
        <w:t xml:space="preserve">Odbiorcy danych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Pani/Pana dane osobowe mogą zostać udostępnione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rPr>
      </w:pPr>
      <w:r w:rsidRPr="00175EE2">
        <w:rPr>
          <w:rFonts w:ascii="Times New Roman" w:eastAsia="Times New Roman" w:hAnsi="Times New Roman" w:cs="Times New Roman"/>
          <w:sz w:val="24"/>
          <w:szCs w:val="24"/>
        </w:rPr>
        <w:t xml:space="preserve">(i) pozostałym </w:t>
      </w:r>
      <w:proofErr w:type="spellStart"/>
      <w:r w:rsidRPr="00175EE2">
        <w:rPr>
          <w:rFonts w:ascii="Times New Roman" w:eastAsia="Times New Roman" w:hAnsi="Times New Roman" w:cs="Times New Roman"/>
          <w:sz w:val="24"/>
          <w:szCs w:val="24"/>
        </w:rPr>
        <w:t>Współadministratorom</w:t>
      </w:r>
      <w:proofErr w:type="spellEnd"/>
      <w:r w:rsidRPr="00175EE2">
        <w:rPr>
          <w:rFonts w:ascii="Times New Roman" w:eastAsia="Times New Roman" w:hAnsi="Times New Roman" w:cs="Times New Roman"/>
          <w:sz w:val="24"/>
          <w:szCs w:val="24"/>
        </w:rPr>
        <w:t xml:space="preserve"> (w zakresie niezbędnym do realizacji Projektu i wspólnych celów przetwarzania), (ii) upoważnionym pracownikom/współpracownikom </w:t>
      </w:r>
      <w:proofErr w:type="spellStart"/>
      <w:r w:rsidRPr="00175EE2">
        <w:rPr>
          <w:rFonts w:ascii="Times New Roman" w:eastAsia="Times New Roman" w:hAnsi="Times New Roman" w:cs="Times New Roman"/>
          <w:sz w:val="24"/>
          <w:szCs w:val="24"/>
        </w:rPr>
        <w:t>Współadministratorów</w:t>
      </w:r>
      <w:proofErr w:type="spellEnd"/>
      <w:r w:rsidRPr="00175EE2">
        <w:rPr>
          <w:rFonts w:ascii="Times New Roman" w:eastAsia="Times New Roman" w:hAnsi="Times New Roman" w:cs="Times New Roman"/>
          <w:sz w:val="24"/>
          <w:szCs w:val="24"/>
        </w:rPr>
        <w:t xml:space="preserve">, (iii) podmiotom przetwarzającym działającym na zlecenie </w:t>
      </w:r>
      <w:proofErr w:type="spellStart"/>
      <w:r w:rsidRPr="00175EE2">
        <w:rPr>
          <w:rFonts w:ascii="Times New Roman" w:eastAsia="Times New Roman" w:hAnsi="Times New Roman" w:cs="Times New Roman"/>
          <w:sz w:val="24"/>
          <w:szCs w:val="24"/>
        </w:rPr>
        <w:t>Współadministratorów</w:t>
      </w:r>
      <w:proofErr w:type="spellEnd"/>
      <w:r w:rsidRPr="00175EE2">
        <w:rPr>
          <w:rFonts w:ascii="Times New Roman" w:eastAsia="Times New Roman" w:hAnsi="Times New Roman" w:cs="Times New Roman"/>
          <w:sz w:val="24"/>
          <w:szCs w:val="24"/>
        </w:rPr>
        <w:t xml:space="preserve"> (np. dostawcy usług IT/hostingu/poczty), (iv) instytucji finansującej oraz podmiotom upoważnionym do kontroli/audytu Projektu oraz innym organom uprawnionym na podstawie przepisów prawa.</w:t>
      </w: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sz w:val="24"/>
          <w:szCs w:val="24"/>
          <w:lang w:val="fr-FR"/>
        </w:rPr>
        <w:t xml:space="preserve"> </w:t>
      </w:r>
      <w:r w:rsidRPr="00175EE2">
        <w:rPr>
          <w:rFonts w:ascii="Times New Roman" w:eastAsia="Times New Roman" w:hAnsi="Times New Roman" w:cs="Times New Roman"/>
          <w:b/>
          <w:sz w:val="24"/>
          <w:szCs w:val="24"/>
          <w:lang w:val="fr-FR"/>
        </w:rPr>
        <w:t>Przekazywanie danych do państw trzecich</w:t>
      </w:r>
    </w:p>
    <w:p w:rsidR="00175EE2" w:rsidRPr="00175EE2" w:rsidRDefault="00175EE2" w:rsidP="00175EE2">
      <w:pPr>
        <w:spacing w:after="0" w:line="240" w:lineRule="auto"/>
        <w:ind w:left="1418"/>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 xml:space="preserve">Dane zostaną przekazane do organizacji posiadającej swoje serwery na terenie USA, na mocy łączącej nas umowy o współpracę, w stosunku, do którego to podmiotu stwierdzony został odpowiedni stopień ochrony Państwa danych osobowych – na mocy decyzji Komisji Europejskiej z dnia 10 lipca 2023r. (EU-US Data Privacy Framework, Nowa Tarcza Prywatności) – Microsoft 365. </w:t>
      </w:r>
    </w:p>
    <w:p w:rsidR="00175EE2" w:rsidRPr="00175EE2" w:rsidRDefault="00175EE2" w:rsidP="00175EE2">
      <w:pPr>
        <w:spacing w:after="0" w:line="240" w:lineRule="auto"/>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b/>
          <w:sz w:val="24"/>
          <w:szCs w:val="24"/>
          <w:lang w:val="fr-FR"/>
        </w:rPr>
        <w:t>Okres przechowywania danych</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 xml:space="preserve">Pani/Pana dane pozyskane w celu realizacji EDIH Cybersec FENG.02.22-IP.02-0012/23-00, będą przechowywane przez okres niezbędny do realizacji celu, o którym mowa w pkt. III niniejszej Informacji oraz przez okres wymagany przepisami prawa, a także niezbędny do rozliczenia i kontroli Projektu oraz do upływu terminów przedawnienia roszczeń. Następnie dane zostaną usunięte albo trwale zanonimizowane. Przepisy kancelaryjno‑archiwalne mają zastosowanie wyłącznie w zakresie, w jakim dany Współadministrator im podlega – w takiej sytuacji materiały archiwalne przechowywane będą zgodne z Instrukcją Kancelaryjną opracowaną u danych Współadministratorów indywidualnie na podstwie przepisów ustway z dnia 14 lipca 1983 r. o narodowym zasobie archiwalnym i archiwach.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 xml:space="preserve">. </w:t>
      </w:r>
    </w:p>
    <w:p w:rsidR="00175EE2" w:rsidRPr="00175EE2" w:rsidRDefault="00175EE2" w:rsidP="00175EE2">
      <w:p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sz w:val="24"/>
          <w:szCs w:val="24"/>
          <w:lang w:val="fr-FR"/>
        </w:rPr>
        <w:tab/>
      </w:r>
      <w:r w:rsidRPr="00175EE2">
        <w:rPr>
          <w:rFonts w:ascii="Times New Roman" w:eastAsia="Times New Roman" w:hAnsi="Times New Roman" w:cs="Times New Roman"/>
          <w:sz w:val="24"/>
          <w:szCs w:val="24"/>
          <w:lang w:val="fr-FR"/>
        </w:rPr>
        <w:tab/>
      </w:r>
    </w:p>
    <w:p w:rsidR="00175EE2" w:rsidRPr="00175EE2" w:rsidRDefault="00175EE2" w:rsidP="00175EE2">
      <w:pPr>
        <w:spacing w:after="0" w:line="240" w:lineRule="auto"/>
        <w:jc w:val="both"/>
        <w:rPr>
          <w:rFonts w:ascii="Times New Roman" w:eastAsia="Times New Roman" w:hAnsi="Times New Roman" w:cs="Times New Roman"/>
          <w:b/>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b/>
          <w:sz w:val="24"/>
          <w:szCs w:val="24"/>
          <w:lang w:val="fr-FR"/>
        </w:rPr>
        <w:lastRenderedPageBreak/>
        <w:t xml:space="preserve">Pani/Pana prawa :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Przysługuje Pani/Panu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dostępu do Pani/Pana danych osobowych – uzyskania od Administratora potwierdzenia, czy przetwarzane są Pani/Pana dane osobowe, a jeżeli ma to miejsce, uzyskanie dostępu do nich oraz przekazania Pani/Panu informacji w zakresie wskazanym w art. 15 RODO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sprostowania Pani/Pana danych osobowych – żądania od Administratora niezwłocznego sprostowania danych osobowych, które są nieprawidłowe oraz uzupełnienia niekompletnych danych osobowych zgodnie z art. 16 RODO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usunięcia Pani/Pana danych osobowych – żądania od Administratora niezwłocznego usunięcia danych osobowych, jeżeli spełniona zostanie jedna z przesłanek określonych w art, 17 RODO, m.in. dane nie są już niezbędne do celów, w których zostały zebrane. Prawo do usunięcia danych może zostać ograniczone ze względu na obowiązki Administratora wynikające z obowiązującego prawa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ograniczenia przetwarzania Pani/Pana danych osobowych w przypadkach wskazanych w art. 18 RODO, m.in. kwestionowania prawidlowości danych osobowych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przenoszenia danych zgodnie z art. 20 RODO;</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wniesienia sprzeciwu wobec przetwarzania Pani/Pana danych osobowych w przypadkach określonych w art. 21 RODO ;</w:t>
      </w:r>
    </w:p>
    <w:p w:rsidR="00175EE2" w:rsidRPr="00175EE2" w:rsidRDefault="00175EE2" w:rsidP="00175EE2">
      <w:pPr>
        <w:numPr>
          <w:ilvl w:val="0"/>
          <w:numId w:val="1"/>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prawo do wniesienia skargi do organu nadzorczego zajmującego się ochroną danych osobowych zgodnie z art. 77 RODO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W celu skorzystania z w/w praw należy skierować żądanie do Współadministratora Koordynującego lub Inspektora Ochrony Danych u Współadministratora Koordynującego – dane kontaktowe wskazano w pkt. II niniejszej Informacji. Wskazanie punktu kontaktowego u Współadministratora Koordynującego nie ogranicza możliwości wykonywania przez Panią/Pana praw wynikających z RODO wobec każdego ze Współadministratorów. Proszę pamiętać, że przed realizacją Pani/Pana uprawnień Administrator będzie musiał upewnić się, że Pani/Pan ma powyższe prawo, czyli odpowiednio Panią/Pana zidentyfikować.</w:t>
      </w:r>
    </w:p>
    <w:p w:rsidR="00175EE2" w:rsidRPr="00175EE2" w:rsidRDefault="00175EE2" w:rsidP="00175EE2">
      <w:pPr>
        <w:spacing w:after="0" w:line="240" w:lineRule="auto"/>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b/>
          <w:sz w:val="24"/>
          <w:szCs w:val="24"/>
          <w:lang w:val="fr-FR"/>
        </w:rPr>
        <w:t>Podanie danych :</w:t>
      </w:r>
    </w:p>
    <w:p w:rsidR="00175EE2" w:rsidRPr="00175EE2" w:rsidRDefault="00175EE2" w:rsidP="00175EE2">
      <w:pPr>
        <w:spacing w:after="0" w:line="240" w:lineRule="auto"/>
        <w:ind w:left="1560"/>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Podanie danych jest niezędne w celu realizacji projektu EDIH Cybersec FENG.02.22-IP.02-0012/23-00 oraz organizacji udziału w wydarzeniu. W zakresie, w jakim przetwarzanie danych odbywa się na podstawie zgody, podanie danych jest dobrowolne.</w:t>
      </w:r>
    </w:p>
    <w:p w:rsidR="00175EE2" w:rsidRPr="00175EE2" w:rsidRDefault="00175EE2" w:rsidP="00175EE2">
      <w:pPr>
        <w:spacing w:after="0" w:line="240" w:lineRule="auto"/>
        <w:jc w:val="both"/>
        <w:rPr>
          <w:rFonts w:ascii="Times New Roman" w:eastAsia="Times New Roman" w:hAnsi="Times New Roman" w:cs="Times New Roman"/>
          <w:sz w:val="24"/>
          <w:szCs w:val="24"/>
          <w:lang w:val="fr-FR"/>
        </w:rPr>
      </w:pPr>
    </w:p>
    <w:p w:rsidR="00175EE2" w:rsidRPr="00175EE2" w:rsidRDefault="00175EE2" w:rsidP="00175EE2">
      <w:pPr>
        <w:numPr>
          <w:ilvl w:val="0"/>
          <w:numId w:val="5"/>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sz w:val="24"/>
          <w:szCs w:val="24"/>
          <w:lang w:val="fr-FR"/>
        </w:rPr>
        <w:t>W związku z przetwarzaniem Pani/Pana danych osobowych również informujemy, że :</w:t>
      </w:r>
    </w:p>
    <w:p w:rsidR="00175EE2" w:rsidRPr="00175EE2" w:rsidRDefault="00175EE2" w:rsidP="00175EE2">
      <w:pPr>
        <w:numPr>
          <w:ilvl w:val="0"/>
          <w:numId w:val="2"/>
        </w:numPr>
        <w:spacing w:after="0" w:line="240" w:lineRule="auto"/>
        <w:jc w:val="both"/>
        <w:rPr>
          <w:rFonts w:ascii="Times New Roman" w:eastAsia="Times New Roman" w:hAnsi="Times New Roman" w:cs="Times New Roman"/>
          <w:b/>
          <w:sz w:val="24"/>
          <w:szCs w:val="24"/>
          <w:lang w:val="fr-FR"/>
        </w:rPr>
      </w:pPr>
      <w:r w:rsidRPr="00175EE2">
        <w:rPr>
          <w:rFonts w:ascii="Times New Roman" w:eastAsia="Times New Roman" w:hAnsi="Times New Roman" w:cs="Times New Roman"/>
          <w:sz w:val="24"/>
          <w:szCs w:val="24"/>
          <w:lang w:val="fr-FR"/>
        </w:rPr>
        <w:t>Współadministrator Koordynujący i Współadministratorzy oświadczają, że przetwarzają Pani/Pana dane osobowe zgodnie z zasadami dotyczącymi przetwarzania danych osobowych określonymi w art. 5 RODO ;</w:t>
      </w:r>
    </w:p>
    <w:p w:rsidR="00175EE2" w:rsidRPr="00175EE2" w:rsidRDefault="00175EE2" w:rsidP="00175EE2">
      <w:pPr>
        <w:numPr>
          <w:ilvl w:val="0"/>
          <w:numId w:val="2"/>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Współadministrator Koordynujący przechowuje wszelką dokumentację dotyczącą współadministrowania, dla potrzeb spełnienia wymogu rozliczalności ;</w:t>
      </w:r>
    </w:p>
    <w:p w:rsidR="00175EE2" w:rsidRPr="00175EE2" w:rsidRDefault="00175EE2" w:rsidP="00175EE2">
      <w:pPr>
        <w:numPr>
          <w:ilvl w:val="0"/>
          <w:numId w:val="2"/>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lastRenderedPageBreak/>
        <w:t>Współadministrator Koordynujący i Współadministratorzy zobowiązują się do ograniczenia dostępu do Pani/Pana danych osobowych wyłącznie do osób, których dostęp do danych osobowych jest potrzebny dla realizacji wyżej wymienionych celów. Dodatkowo Współadministrator Koordynujący i Współadministratorzy zapewniają, że do przetwarzania danych osobowych dopuszczają wyłącznie osoby, które mają imienne upoważnienie nadane przez Współadministratora Koordynującego lub Współadministratorów oraz, że osoby dopuszczone do przetwarzania danych osobowych zostały zobowiązane do zachowania  danych osobowych w tajemnicy (poufności), a także te osoby zostały uprzednio przeszkolone z zasad i przepisów o ochronie danych osobowych;</w:t>
      </w:r>
    </w:p>
    <w:p w:rsidR="00175EE2" w:rsidRPr="00175EE2" w:rsidRDefault="00175EE2" w:rsidP="00175EE2">
      <w:pPr>
        <w:numPr>
          <w:ilvl w:val="0"/>
          <w:numId w:val="2"/>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 xml:space="preserve"> Współadministrator Koordynujący oraz Współadministratorzy zapewniają odpowiedni poziom bezpieczeństwa danych osobowych. Współadministrator Koordynujący oraz Współadministratorzy w celu zapewnienia bezpieczestwa zapewniają :</w:t>
      </w:r>
    </w:p>
    <w:p w:rsidR="00175EE2" w:rsidRPr="00175EE2" w:rsidRDefault="00175EE2" w:rsidP="00175EE2">
      <w:pPr>
        <w:numPr>
          <w:ilvl w:val="0"/>
          <w:numId w:val="3"/>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zdolność do ciągłego zapewnienia poufności, integralności, dostępności i odporności systemów i usług przetwarzania danych osobowych ;</w:t>
      </w:r>
    </w:p>
    <w:p w:rsidR="00175EE2" w:rsidRPr="00175EE2" w:rsidRDefault="00175EE2" w:rsidP="00175EE2">
      <w:pPr>
        <w:numPr>
          <w:ilvl w:val="0"/>
          <w:numId w:val="3"/>
        </w:numPr>
        <w:spacing w:after="0" w:line="240" w:lineRule="auto"/>
        <w:jc w:val="both"/>
        <w:rPr>
          <w:rFonts w:ascii="Times New Roman" w:eastAsia="Times New Roman" w:hAnsi="Times New Roman" w:cs="Times New Roman"/>
          <w:sz w:val="24"/>
          <w:szCs w:val="24"/>
          <w:lang w:val="fr-FR"/>
        </w:rPr>
      </w:pPr>
      <w:r w:rsidRPr="00175EE2">
        <w:rPr>
          <w:rFonts w:ascii="Times New Roman" w:eastAsia="Times New Roman" w:hAnsi="Times New Roman" w:cs="Times New Roman"/>
          <w:sz w:val="24"/>
          <w:szCs w:val="24"/>
          <w:lang w:val="fr-FR"/>
        </w:rPr>
        <w:t>zdolność do szybkiego przywrócenia dostępności danych osobowych i dostępu do nich w razie incydentu fizycznego lub technicznego.</w:t>
      </w:r>
    </w:p>
    <w:p w:rsidR="00175EE2" w:rsidRPr="00175EE2" w:rsidRDefault="00175EE2" w:rsidP="00175EE2">
      <w:pPr>
        <w:tabs>
          <w:tab w:val="left" w:pos="5977"/>
        </w:tabs>
        <w:spacing w:before="240" w:after="0" w:line="240" w:lineRule="auto"/>
        <w:jc w:val="both"/>
        <w:rPr>
          <w:rFonts w:ascii="Times New Roman" w:eastAsia="Times New Roman" w:hAnsi="Times New Roman" w:cs="Times New Roman"/>
          <w:b/>
          <w:sz w:val="24"/>
          <w:szCs w:val="24"/>
        </w:rPr>
      </w:pPr>
    </w:p>
    <w:p w:rsidR="00175EE2" w:rsidRPr="00175EE2" w:rsidRDefault="00175EE2" w:rsidP="00175EE2">
      <w:pPr>
        <w:spacing w:before="240" w:after="0" w:line="240" w:lineRule="auto"/>
        <w:rPr>
          <w:rFonts w:ascii="Times New Roman" w:eastAsia="Times New Roman" w:hAnsi="Times New Roman" w:cs="Times New Roman"/>
          <w:b/>
          <w:bCs/>
          <w:sz w:val="24"/>
          <w:szCs w:val="24"/>
        </w:rPr>
      </w:pPr>
    </w:p>
    <w:p w:rsidR="00175EE2" w:rsidRPr="00175EE2" w:rsidRDefault="00175EE2" w:rsidP="00175EE2">
      <w:pPr>
        <w:spacing w:before="240" w:after="0" w:line="240" w:lineRule="auto"/>
        <w:rPr>
          <w:rFonts w:ascii="Times New Roman" w:eastAsia="Times New Roman" w:hAnsi="Times New Roman" w:cs="Times New Roman"/>
          <w:b/>
          <w:bCs/>
          <w:sz w:val="24"/>
          <w:szCs w:val="24"/>
        </w:rPr>
      </w:pPr>
    </w:p>
    <w:bookmarkEnd w:id="0"/>
    <w:p w:rsidR="002E333C" w:rsidRDefault="002E333C"/>
    <w:sectPr w:rsidR="002E3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365C4"/>
    <w:multiLevelType w:val="hybridMultilevel"/>
    <w:tmpl w:val="C5303B72"/>
    <w:lvl w:ilvl="0" w:tplc="A7726418">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 w15:restartNumberingAfterBreak="0">
    <w:nsid w:val="42B42D4A"/>
    <w:multiLevelType w:val="hybridMultilevel"/>
    <w:tmpl w:val="4B5EDF94"/>
    <w:lvl w:ilvl="0" w:tplc="04150009">
      <w:start w:val="1"/>
      <w:numFmt w:val="bullet"/>
      <w:lvlText w:val=""/>
      <w:lvlJc w:val="left"/>
      <w:pPr>
        <w:ind w:left="2640" w:hanging="360"/>
      </w:pPr>
      <w:rPr>
        <w:rFonts w:ascii="Wingdings" w:hAnsi="Wingdings"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2" w15:restartNumberingAfterBreak="0">
    <w:nsid w:val="47F0074F"/>
    <w:multiLevelType w:val="hybridMultilevel"/>
    <w:tmpl w:val="5CF6A61A"/>
    <w:lvl w:ilvl="0" w:tplc="1E18F94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CA7C34"/>
    <w:multiLevelType w:val="hybridMultilevel"/>
    <w:tmpl w:val="69685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8106C"/>
    <w:multiLevelType w:val="hybridMultilevel"/>
    <w:tmpl w:val="79B6BD3C"/>
    <w:lvl w:ilvl="0" w:tplc="A7726418">
      <w:start w:val="1"/>
      <w:numFmt w:val="lowerLetter"/>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E2"/>
    <w:rsid w:val="00175EE2"/>
    <w:rsid w:val="002E333C"/>
    <w:rsid w:val="009C6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F585"/>
  <w15:chartTrackingRefBased/>
  <w15:docId w15:val="{F22CA33A-D0FF-42E4-AF22-08EC1608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175EE2"/>
    <w:rPr>
      <w:sz w:val="16"/>
      <w:szCs w:val="16"/>
    </w:rPr>
  </w:style>
  <w:style w:type="paragraph" w:styleId="Tekstkomentarza">
    <w:name w:val="annotation text"/>
    <w:basedOn w:val="Normalny"/>
    <w:link w:val="TekstkomentarzaZnak"/>
    <w:uiPriority w:val="99"/>
    <w:unhideWhenUsed/>
    <w:rsid w:val="00175EE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75EE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75E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EE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75EE2"/>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75EE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1274</Words>
  <Characters>7650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1</cp:revision>
  <dcterms:created xsi:type="dcterms:W3CDTF">2026-05-12T07:32:00Z</dcterms:created>
  <dcterms:modified xsi:type="dcterms:W3CDTF">2026-05-12T07:51:00Z</dcterms:modified>
</cp:coreProperties>
</file>